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B6" w:rsidRDefault="009471FE">
      <w:pPr>
        <w:pStyle w:val="a3"/>
        <w:ind w:firstLine="567"/>
      </w:pPr>
      <w:r>
        <w:t>Смілянська загальноосвітня школа І-ІІІ ступенів № 7</w:t>
      </w:r>
    </w:p>
    <w:p w:rsidR="00B719B6" w:rsidRDefault="009471F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Смілянської міської ради Черкаської області</w:t>
      </w:r>
    </w:p>
    <w:p w:rsidR="00B719B6" w:rsidRDefault="00B719B6">
      <w:pPr>
        <w:ind w:firstLine="567"/>
        <w:rPr>
          <w:sz w:val="28"/>
          <w:szCs w:val="28"/>
        </w:rPr>
      </w:pPr>
    </w:p>
    <w:tbl>
      <w:tblPr>
        <w:tblStyle w:val="af9"/>
        <w:tblW w:w="9468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2808"/>
        <w:gridCol w:w="6660"/>
      </w:tblGrid>
      <w:tr w:rsidR="00B719B6">
        <w:tc>
          <w:tcPr>
            <w:tcW w:w="2808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Адреса:</w:t>
            </w:r>
          </w:p>
        </w:tc>
        <w:tc>
          <w:tcPr>
            <w:tcW w:w="6660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вул.Б.Хмельницького, 51 А, м.Сміла,</w:t>
            </w:r>
          </w:p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Черкаська область, 20706</w:t>
            </w:r>
          </w:p>
        </w:tc>
      </w:tr>
      <w:tr w:rsidR="00B719B6">
        <w:tc>
          <w:tcPr>
            <w:tcW w:w="2808" w:type="dxa"/>
          </w:tcPr>
          <w:p w:rsidR="00B719B6" w:rsidRDefault="00B7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B719B6" w:rsidRDefault="00B7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719B6">
        <w:tc>
          <w:tcPr>
            <w:tcW w:w="2808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Телефон:</w:t>
            </w:r>
          </w:p>
        </w:tc>
        <w:tc>
          <w:tcPr>
            <w:tcW w:w="6660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0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+380680861805</w:t>
            </w:r>
          </w:p>
        </w:tc>
      </w:tr>
      <w:tr w:rsidR="00B719B6">
        <w:tc>
          <w:tcPr>
            <w:tcW w:w="2808" w:type="dxa"/>
          </w:tcPr>
          <w:p w:rsidR="00B719B6" w:rsidRDefault="00B7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B719B6" w:rsidRDefault="00B7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719B6">
        <w:tc>
          <w:tcPr>
            <w:tcW w:w="2808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6660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  <w:hyperlink r:id="rId8">
              <w:r>
                <w:rPr>
                  <w:sz w:val="28"/>
                  <w:szCs w:val="28"/>
                  <w:u w:val="single"/>
                </w:rPr>
                <w:t>school7knj@ukr.net</w:t>
              </w:r>
            </w:hyperlink>
          </w:p>
        </w:tc>
      </w:tr>
      <w:tr w:rsidR="00B719B6">
        <w:tc>
          <w:tcPr>
            <w:tcW w:w="2808" w:type="dxa"/>
          </w:tcPr>
          <w:p w:rsidR="00B719B6" w:rsidRDefault="00B7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B719B6" w:rsidRDefault="00B7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</w:p>
        </w:tc>
      </w:tr>
      <w:tr w:rsidR="00B719B6">
        <w:tc>
          <w:tcPr>
            <w:tcW w:w="2808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В.о. директора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660" w:type="dxa"/>
          </w:tcPr>
          <w:p w:rsidR="00B719B6" w:rsidRDefault="0094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0"/>
              </w:tabs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Петряк Лариса Миколаївна</w:t>
            </w:r>
          </w:p>
        </w:tc>
      </w:tr>
      <w:tr w:rsidR="00B719B6">
        <w:tc>
          <w:tcPr>
            <w:tcW w:w="2808" w:type="dxa"/>
          </w:tcPr>
          <w:p w:rsidR="00B719B6" w:rsidRDefault="00B719B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B719B6" w:rsidRDefault="00B719B6">
            <w:pPr>
              <w:tabs>
                <w:tab w:val="left" w:pos="1160"/>
              </w:tabs>
              <w:ind w:firstLine="567"/>
              <w:rPr>
                <w:i/>
                <w:sz w:val="28"/>
                <w:szCs w:val="28"/>
              </w:rPr>
            </w:pPr>
          </w:p>
        </w:tc>
      </w:tr>
    </w:tbl>
    <w:p w:rsidR="00B719B6" w:rsidRDefault="00B719B6">
      <w:pPr>
        <w:ind w:firstLine="567"/>
        <w:jc w:val="both"/>
        <w:rPr>
          <w:sz w:val="28"/>
          <w:szCs w:val="28"/>
        </w:rPr>
      </w:pP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Приміщення закладу збудовано та введено в експлуатацію у 1992 році. 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Заклад функціонує з 05.10.1992 року. </w:t>
      </w:r>
    </w:p>
    <w:p w:rsidR="00B719B6" w:rsidRDefault="009471F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школі навчається 767 учнів (27 класів).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Освітній процес забезпечують 54 вчителі, із них:</w:t>
      </w:r>
    </w:p>
    <w:p w:rsidR="00B719B6" w:rsidRDefault="009471FE">
      <w:pPr>
        <w:jc w:val="both"/>
        <w:rPr>
          <w:sz w:val="28"/>
          <w:szCs w:val="28"/>
        </w:rPr>
      </w:pPr>
      <w:r>
        <w:rPr>
          <w:sz w:val="28"/>
          <w:szCs w:val="28"/>
        </w:rPr>
        <w:t>36 - мають кваліфікаційну категорію «спеціаліст вищої категорії»;</w:t>
      </w:r>
    </w:p>
    <w:p w:rsidR="00B719B6" w:rsidRDefault="009471FE">
      <w:pPr>
        <w:jc w:val="both"/>
        <w:rPr>
          <w:sz w:val="28"/>
          <w:szCs w:val="28"/>
        </w:rPr>
      </w:pPr>
      <w:r>
        <w:rPr>
          <w:sz w:val="28"/>
          <w:szCs w:val="28"/>
        </w:rPr>
        <w:t>5 - «спеціаліст першої категорії»;</w:t>
      </w:r>
    </w:p>
    <w:p w:rsidR="00B719B6" w:rsidRDefault="009471FE">
      <w:pPr>
        <w:jc w:val="both"/>
        <w:rPr>
          <w:sz w:val="28"/>
          <w:szCs w:val="28"/>
        </w:rPr>
      </w:pPr>
      <w:r>
        <w:rPr>
          <w:sz w:val="28"/>
          <w:szCs w:val="28"/>
        </w:rPr>
        <w:t>6 - «спеціаліст другої категорії»;</w:t>
      </w:r>
    </w:p>
    <w:p w:rsidR="00B719B6" w:rsidRDefault="009471FE">
      <w:pPr>
        <w:jc w:val="both"/>
        <w:rPr>
          <w:sz w:val="28"/>
          <w:szCs w:val="28"/>
        </w:rPr>
      </w:pPr>
      <w:r>
        <w:rPr>
          <w:sz w:val="28"/>
          <w:szCs w:val="28"/>
        </w:rPr>
        <w:t>3 - «спеціаліст»;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3 - 11 тарифний розряд;</w:t>
      </w:r>
    </w:p>
    <w:p w:rsidR="00B719B6" w:rsidRPr="003C6B29" w:rsidRDefault="009471F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1 - 10 тарифний розряд</w:t>
      </w:r>
      <w:r w:rsidR="003C6B29">
        <w:rPr>
          <w:sz w:val="28"/>
          <w:szCs w:val="28"/>
          <w:lang w:val="uk-UA"/>
        </w:rPr>
        <w:t>.</w:t>
      </w:r>
    </w:p>
    <w:p w:rsidR="00B719B6" w:rsidRDefault="00B719B6">
      <w:pPr>
        <w:jc w:val="both"/>
        <w:rPr>
          <w:sz w:val="28"/>
          <w:szCs w:val="28"/>
        </w:rPr>
      </w:pP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Педагогічне звання мають: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«учитель-методист» - 23 педагогічних працівників;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«старший вчитель» - 5 педагогічних працівників.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закладі працює 1 соціальний педагог, 1 практичний психолог, </w:t>
      </w:r>
      <w:r w:rsidR="003C6B29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асистенти учителів, 1 учитель-логопед, 30 осіб обслуговуючого персоналу.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Смілянська загальноосвітня школа І-ІІІ ступенів №7 – це сучасний, яскравий і затишний заклад, у якому згуртувалася поту</w:t>
      </w:r>
      <w:r>
        <w:rPr>
          <w:color w:val="000000"/>
          <w:sz w:val="28"/>
          <w:szCs w:val="28"/>
        </w:rPr>
        <w:t xml:space="preserve">жна команда педагогів, </w:t>
      </w:r>
      <w:r w:rsidR="003C6B29">
        <w:rPr>
          <w:color w:val="000000"/>
          <w:sz w:val="28"/>
          <w:szCs w:val="28"/>
          <w:lang w:val="uk-UA"/>
        </w:rPr>
        <w:t xml:space="preserve">учнів, </w:t>
      </w:r>
      <w:r>
        <w:rPr>
          <w:color w:val="000000"/>
          <w:sz w:val="28"/>
          <w:szCs w:val="28"/>
        </w:rPr>
        <w:t>батьків</w:t>
      </w:r>
      <w:r w:rsidR="003C6B29">
        <w:rPr>
          <w:color w:val="000000"/>
          <w:sz w:val="28"/>
          <w:szCs w:val="28"/>
          <w:lang w:val="uk-UA"/>
        </w:rPr>
        <w:t xml:space="preserve"> та інших працівників</w:t>
      </w:r>
      <w:r>
        <w:rPr>
          <w:color w:val="000000"/>
          <w:sz w:val="28"/>
          <w:szCs w:val="28"/>
        </w:rPr>
        <w:t xml:space="preserve">. Саме вони спільними зусиллями будують школу своєї мрії заради життєвого успіху кожної дитини. 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Стратегія розвитку закладу передбачає забезпечення учнів якісною загальною середньою освітою та глибокими предметними ко</w:t>
      </w:r>
      <w:r>
        <w:rPr>
          <w:color w:val="000000"/>
          <w:sz w:val="28"/>
          <w:szCs w:val="28"/>
        </w:rPr>
        <w:t>мпетенціями, шляхом створення сучасного освітнього середовища, спрямованого на пошук і впровадження партнерства та принципу дитиноцентризму, спрямованого на всебічний розвиток, високий рівень навчання, виховання та соціалізації особистості, готової до ефек</w:t>
      </w:r>
      <w:r>
        <w:rPr>
          <w:color w:val="000000"/>
          <w:sz w:val="28"/>
          <w:szCs w:val="28"/>
        </w:rPr>
        <w:t>тивної праці у конкурентному середовищі.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закладі забезпечується раціональне використання приміщень, комплектування класів здійснюється з урахуванням чисельності здобувачів освіти, їх особливих освітніх потреб.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Загалом функціонує 49 сучасних навчальних к</w:t>
      </w:r>
      <w:r>
        <w:rPr>
          <w:sz w:val="28"/>
          <w:szCs w:val="28"/>
        </w:rPr>
        <w:t>абінетів, 4 майстерні (з обробки деревини, металу, тканини та харчових продуктів). Для послуг дітей та дорослих - великі актова та спортивна зали, 3 спортивних майданчики, сучасний методичний кабінет, клас безпеки, шкільний бібліотечно-інформаційний центр,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 є комфортний читальний зал, кабінети соціального педагога, практичного психолога, логопедичний кабінет, медичний кабінет, кабінет робототехніки, медіаосвіти, інтернет-кафе, музейна кімната, 18 кабінетів із мультимедійним обладнанням, 2 комп’ютерні клас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Наш освітній заклад має найбільший у місті спортивний зал із баскетбольним та волейбольним майданчиками, що на достатньому рівні забезпечений інвентарем. На базі школи діють шкільні гуртки: «Волейбол» та «Футзал»; проводят</w:t>
      </w:r>
      <w:r>
        <w:rPr>
          <w:sz w:val="28"/>
          <w:szCs w:val="28"/>
        </w:rPr>
        <w:t>ься заняття керівниками секцій ДЮСШ «Олімп»,</w:t>
      </w:r>
      <w:r w:rsidR="003C6B29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</w:rPr>
        <w:t xml:space="preserve"> БДЮТ з тхеквондо, великого тенісу, карате, баскетболу. 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Бібліотека - освітній і культурній центр закладу, що є складовою освітнього процесу. До послуг учнів книжковий фонд шкільної бібліотеки, зокрема: 1</w:t>
      </w:r>
      <w:r>
        <w:rPr>
          <w:sz w:val="28"/>
          <w:szCs w:val="28"/>
        </w:rPr>
        <w:t>9169</w:t>
      </w:r>
      <w:r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</w:rPr>
        <w:t xml:space="preserve">мірники. Із них </w:t>
      </w:r>
      <w:r>
        <w:rPr>
          <w:sz w:val="28"/>
          <w:szCs w:val="28"/>
        </w:rPr>
        <w:t>3032</w:t>
      </w:r>
      <w:r>
        <w:rPr>
          <w:color w:val="000000"/>
          <w:sz w:val="28"/>
          <w:szCs w:val="28"/>
        </w:rPr>
        <w:t xml:space="preserve"> примірників складають підручники, 54</w:t>
      </w:r>
      <w:r>
        <w:rPr>
          <w:sz w:val="28"/>
          <w:szCs w:val="28"/>
        </w:rPr>
        <w:t>75</w:t>
      </w:r>
      <w:r>
        <w:rPr>
          <w:color w:val="000000"/>
          <w:sz w:val="28"/>
          <w:szCs w:val="28"/>
        </w:rPr>
        <w:t xml:space="preserve"> примірників - художня література та 5</w:t>
      </w:r>
      <w:r>
        <w:rPr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примірників - методична література. Наявний фонд бібліотеки частково переведено в електронне подання.</w:t>
      </w:r>
    </w:p>
    <w:p w:rsidR="00B719B6" w:rsidRPr="003C6B29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</w:rPr>
        <w:t>Із дотриманням санітарно-гігієнічних норм функціонує ї</w:t>
      </w:r>
      <w:r>
        <w:rPr>
          <w:color w:val="000000"/>
          <w:sz w:val="28"/>
          <w:szCs w:val="28"/>
        </w:rPr>
        <w:t xml:space="preserve">дальня. Чотиритижневе сезонне меню забезпечує раціональне харчування учнів. Організовано безкоштовне гаряче харчування для учнів пільгових категорій. У приміщенні їдальні встановлено нові енергозберігаючі світильники, </w:t>
      </w:r>
      <w:r w:rsidR="003C6B29">
        <w:rPr>
          <w:color w:val="000000"/>
          <w:sz w:val="28"/>
          <w:szCs w:val="28"/>
          <w:lang w:val="uk-UA"/>
        </w:rPr>
        <w:t>замінено електропроводку, проведено косметичний ремонт обідньої зали.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Наразі триває перетворення освітнього безбар’єрного простору через реалізацію спільних проєктів учасників освітнього процесу та залучення спонсорів.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Смілянська загальноосвітня школа І-ІІІ ступенів №7 – яскравий </w:t>
      </w:r>
      <w:r>
        <w:rPr>
          <w:sz w:val="28"/>
          <w:szCs w:val="28"/>
        </w:rPr>
        <w:t>представник Нової Української Школи, де навчання учнів проходить: креативно, весело, цікаво, змістовно та безпечно, оскільки освітню діяльність закладу спрямовано на становлення цілісної особистості дитини, яка є носієм загальнолюдських цінностей та здатна</w:t>
      </w:r>
      <w:r>
        <w:rPr>
          <w:sz w:val="28"/>
          <w:szCs w:val="28"/>
        </w:rPr>
        <w:t xml:space="preserve"> вчитися впродовж життя та досягати успіху. Щорічно педагоги та учні стають переможцями обласних, Всеукраїнських творчих конкурсів, предметних олімпіад, спортивних змагань та проєктів.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Заклад є учасником обласної дослідно-експериментальної роботи з теми «Організаційно-педагогічні умови використання робототехніки «LEGO» для розвитку обдарованих дітей». Організовано 2  вікові команди: «Robotestic» (учні 6-10 років) і «Robotest» (учні 9-16 </w:t>
      </w:r>
      <w:r>
        <w:rPr>
          <w:sz w:val="28"/>
          <w:szCs w:val="28"/>
          <w:highlight w:val="white"/>
        </w:rPr>
        <w:t>років), що беруть активну участь в обласних і всеукраїнських змаганнях.</w:t>
      </w:r>
    </w:p>
    <w:p w:rsidR="00B719B6" w:rsidRDefault="009471FE">
      <w:pPr>
        <w:shd w:val="clear" w:color="auto" w:fill="FFFFFF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Окрім того школа продовжує брати участь в обласній дослідно-експериментальній роботі з теми «Організаційно-педагогічні умови та технології забезпечення єдності фізичного і військово-патріотичного виховання учнів закладів загальної середньої освіти».</w:t>
      </w:r>
    </w:p>
    <w:p w:rsidR="00B719B6" w:rsidRDefault="009471FE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</w:t>
      </w:r>
      <w:r>
        <w:rPr>
          <w:sz w:val="28"/>
          <w:szCs w:val="28"/>
        </w:rPr>
        <w:t xml:space="preserve">нізації адміністративної діяльності використовується єдина платформа закладу Google G Suite Education, ІСУО «Курс. Школа», ПАК АІКОМ, </w:t>
      </w:r>
      <w:r>
        <w:rPr>
          <w:sz w:val="28"/>
          <w:szCs w:val="28"/>
          <w:highlight w:val="white"/>
        </w:rPr>
        <w:t>Єдина атестаційна система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>електронні журнали та щоденники на платформі NZ.UA.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навчальному році </w:t>
      </w:r>
      <w:r>
        <w:rPr>
          <w:sz w:val="28"/>
          <w:szCs w:val="28"/>
        </w:rPr>
        <w:t>пять</w:t>
      </w:r>
      <w:r>
        <w:rPr>
          <w:color w:val="000000"/>
          <w:sz w:val="28"/>
          <w:szCs w:val="28"/>
        </w:rPr>
        <w:t xml:space="preserve"> випускник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11 класу </w:t>
      </w:r>
      <w:r>
        <w:rPr>
          <w:sz w:val="28"/>
          <w:szCs w:val="28"/>
        </w:rPr>
        <w:t xml:space="preserve">закінчили школу з відзнакою, та один випускник 9 класу отримав свідоцтво з відзнакою. </w:t>
      </w:r>
      <w:r>
        <w:rPr>
          <w:color w:val="000000"/>
          <w:sz w:val="28"/>
          <w:szCs w:val="28"/>
        </w:rPr>
        <w:t>Варто зазначити, що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випускник школи </w:t>
      </w:r>
      <w:r>
        <w:rPr>
          <w:sz w:val="28"/>
          <w:szCs w:val="28"/>
        </w:rPr>
        <w:t>склав</w:t>
      </w:r>
      <w:r>
        <w:rPr>
          <w:color w:val="000000"/>
          <w:sz w:val="28"/>
          <w:szCs w:val="28"/>
        </w:rPr>
        <w:t xml:space="preserve"> НМТ з математики на 200 балів. 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Учениця школи у 2024-2025 навчальному році отримувала стипендію Смілянського міськог</w:t>
      </w:r>
      <w:r>
        <w:rPr>
          <w:sz w:val="28"/>
          <w:szCs w:val="28"/>
        </w:rPr>
        <w:t>о голови.</w:t>
      </w:r>
    </w:p>
    <w:p w:rsidR="00B719B6" w:rsidRPr="00A43E1C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Учасники освітнього проце</w:t>
      </w:r>
      <w:r>
        <w:rPr>
          <w:color w:val="000000"/>
          <w:sz w:val="28"/>
          <w:szCs w:val="28"/>
        </w:rPr>
        <w:t>су закладу спільно із мешканцями мікрорайону є активними учасниками волонтерського центру, що забезпечує всебічну допомогу Збройним Силам України та тим, хто постраждав під час російсько</w:t>
      </w:r>
      <w:r w:rsidR="00A43E1C">
        <w:rPr>
          <w:color w:val="000000"/>
          <w:sz w:val="28"/>
          <w:szCs w:val="28"/>
          <w:lang w:val="uk-UA"/>
        </w:rPr>
        <w:t>ї збройної агресії.</w:t>
      </w:r>
    </w:p>
    <w:p w:rsidR="00B719B6" w:rsidRDefault="009471FE">
      <w:pPr>
        <w:tabs>
          <w:tab w:val="left" w:pos="426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Активним учасни</w:t>
      </w:r>
      <w:r>
        <w:rPr>
          <w:sz w:val="28"/>
          <w:szCs w:val="28"/>
          <w:highlight w:val="white"/>
        </w:rPr>
        <w:t>ком означеного центру є козацький курінь імені Героя України Євгена Лисенка, до складу якого входять шість роїв: «Незламні» (молодша вікова категорія), «Нічні кажани», «Залізні Вовки», «Сокіл» ( середня вікова категорія), «Звіробій», «Гайдамаки» (старша ві</w:t>
      </w:r>
      <w:r>
        <w:rPr>
          <w:sz w:val="28"/>
          <w:szCs w:val="28"/>
          <w:highlight w:val="white"/>
        </w:rPr>
        <w:t>кова категорія).</w:t>
      </w:r>
    </w:p>
    <w:p w:rsidR="00B719B6" w:rsidRDefault="00B719B6">
      <w:pPr>
        <w:tabs>
          <w:tab w:val="right" w:pos="9638"/>
        </w:tabs>
        <w:ind w:firstLine="567"/>
        <w:jc w:val="both"/>
        <w:rPr>
          <w:b/>
          <w:sz w:val="28"/>
          <w:szCs w:val="28"/>
        </w:rPr>
      </w:pPr>
    </w:p>
    <w:p w:rsidR="00B719B6" w:rsidRDefault="009471FE">
      <w:pPr>
        <w:tabs>
          <w:tab w:val="right" w:pos="9638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 </w:t>
      </w:r>
      <w:r w:rsidR="00A43E1C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</w:rPr>
        <w:t>езпеки</w:t>
      </w:r>
    </w:p>
    <w:p w:rsidR="00B719B6" w:rsidRDefault="009471FE">
      <w:pPr>
        <w:tabs>
          <w:tab w:val="right" w:pos="96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наказу Міністерства освіти і науки України від 10.02.2023 №135 «Деякі питання створення та функціонування класів безпеки у закладах освіти» функціонує Клас безпеки. Приміщення розташовано на І поверсі, розділено </w:t>
      </w:r>
      <w:r>
        <w:rPr>
          <w:sz w:val="28"/>
          <w:szCs w:val="28"/>
        </w:rPr>
        <w:t>на тематичні зони – пожежна безпека, мінна безпека, цивільний захист, домедична допомога, безпека на дорогах, ігрова зона та зона психологічного розвантаження, відповідно обладнано та використовується не лише під час вивчення окремих тем навчальних програм</w:t>
      </w:r>
      <w:r>
        <w:rPr>
          <w:sz w:val="28"/>
          <w:szCs w:val="28"/>
        </w:rPr>
        <w:t xml:space="preserve"> «Я досліджую світ» (1-4 класи), ІК «Здоров’я, безпека та добробут» (5-8 класи), предмету «Основи здоров’я» (9 класи), але й під час зустрічей із представниками поліції, управління ДСНС, військовими та представниками Червоного Хреста.</w:t>
      </w:r>
    </w:p>
    <w:p w:rsidR="00B719B6" w:rsidRDefault="009471FE">
      <w:pPr>
        <w:tabs>
          <w:tab w:val="left" w:pos="426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Варто зазначити, що у</w:t>
      </w:r>
      <w:r>
        <w:rPr>
          <w:sz w:val="28"/>
          <w:szCs w:val="28"/>
        </w:rPr>
        <w:t xml:space="preserve"> закладі працює офіцер Служби освітньої безпеки, який спільно із адміністрацією закладу відповідає за весь комплекс безпекових заходів, починаючи з допуску дітей до приміщення школи</w:t>
      </w:r>
      <w:r>
        <w:rPr>
          <w:b/>
          <w:sz w:val="28"/>
          <w:szCs w:val="28"/>
        </w:rPr>
        <w:t>.</w:t>
      </w:r>
    </w:p>
    <w:p w:rsidR="00B719B6" w:rsidRDefault="00B719B6">
      <w:pPr>
        <w:tabs>
          <w:tab w:val="left" w:pos="426"/>
        </w:tabs>
        <w:ind w:firstLine="567"/>
        <w:jc w:val="both"/>
        <w:rPr>
          <w:b/>
          <w:sz w:val="28"/>
          <w:szCs w:val="28"/>
        </w:rPr>
      </w:pPr>
    </w:p>
    <w:p w:rsidR="00B719B6" w:rsidRDefault="009471FE">
      <w:pPr>
        <w:tabs>
          <w:tab w:val="left" w:pos="426"/>
        </w:tabs>
        <w:ind w:firstLine="56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>Найпростіше укриття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підвальному приміщенні закладу облаштовано найпрос</w:t>
      </w:r>
      <w:r>
        <w:rPr>
          <w:color w:val="000000"/>
          <w:sz w:val="28"/>
          <w:szCs w:val="28"/>
        </w:rPr>
        <w:t>тіше укриття, де можуть розміститися усі здобувачі освіти та працівники закладу. Наявне тепло-, енерго-, водопостачання та водовідведення, централізована каналізація, природно-примусова вентиляція, облаштовано медичний пункт, закуплено сертифіковані продук</w:t>
      </w:r>
      <w:r>
        <w:rPr>
          <w:color w:val="000000"/>
          <w:sz w:val="28"/>
          <w:szCs w:val="28"/>
        </w:rPr>
        <w:t xml:space="preserve">ти харчування та питну воду. Над східним та західним входами установлено навіси від опадів. 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кошти місцевого бюджету у найпростішому укритті зроблено капітальний ремонт санвузлів, оздоблено стіни та стелі, у трьох кімнатах проведено обробку та фарбування цементної підлоги.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Наразі проводиться облаштування ігрових зон для учнів початкової школи.</w:t>
      </w:r>
    </w:p>
    <w:p w:rsidR="00B719B6" w:rsidRDefault="00B719B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color w:val="000000"/>
          <w:sz w:val="28"/>
          <w:szCs w:val="28"/>
        </w:rPr>
      </w:pP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Літні активності 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Влітку 2025 року у закладі було організовано проведення літніх активностей, що тривали 10 днів. Літні активності – це освітній майданчик розвитку та партнерства, про</w:t>
      </w:r>
      <w:r>
        <w:rPr>
          <w:sz w:val="28"/>
          <w:szCs w:val="28"/>
        </w:rPr>
        <w:t>стір для дитячих та дорослих ініціатив, активного відпочинку, щоденних нових вражень та позитивних емоцій.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означених активностей, щодо реалізації практичної частини навчальних програм предметів річного плану та подолання освітніх втрат, </w:t>
      </w:r>
      <w:r>
        <w:rPr>
          <w:sz w:val="28"/>
          <w:szCs w:val="28"/>
        </w:rPr>
        <w:lastRenderedPageBreak/>
        <w:t>проведено н</w:t>
      </w:r>
      <w:r>
        <w:rPr>
          <w:sz w:val="28"/>
          <w:szCs w:val="28"/>
        </w:rPr>
        <w:t>авчальну практику для учнів базової школи у формі роботи наукових центрів за напрямами: мовний (українська, англійська), історичний та природничо-математичний. Здобувачі освіти мали змогу обрати Центр у якому активно взаємодіяли з однолітками та досвідчени</w:t>
      </w:r>
      <w:r>
        <w:rPr>
          <w:sz w:val="28"/>
          <w:szCs w:val="28"/>
        </w:rPr>
        <w:t>ми наставниками.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Учнів початкової та середньої школи залучено до навчальних екскурсій. Діти відвідали пізнавально-туристичний комплекс «Зерноленд», зоопарк у м.Черкаси, історико-культурні пам’ятки у містах Черкаси та Умань, підприємства та виробництва: шве</w:t>
      </w:r>
      <w:r>
        <w:rPr>
          <w:sz w:val="28"/>
          <w:szCs w:val="28"/>
        </w:rPr>
        <w:t>йна фабрика «Kenta&amp;Аver», ПАТ «Юрія», кондитерську фабрику «Меркурій», учні старшої школи влаштували поїздку до Львова.</w:t>
      </w:r>
    </w:p>
    <w:p w:rsidR="00B719B6" w:rsidRDefault="00B719B6">
      <w:pPr>
        <w:ind w:firstLine="567"/>
        <w:jc w:val="both"/>
        <w:rPr>
          <w:b/>
          <w:sz w:val="28"/>
          <w:szCs w:val="28"/>
          <w:u w:val="single"/>
        </w:rPr>
      </w:pP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Загалом на утримання закладу впродовж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навчального року було витрачено кошти міського бюджету та благодійні надходження.</w:t>
      </w:r>
    </w:p>
    <w:p w:rsidR="00B719B6" w:rsidRDefault="009471F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Місце</w:t>
      </w:r>
      <w:r>
        <w:rPr>
          <w:sz w:val="28"/>
          <w:szCs w:val="28"/>
        </w:rPr>
        <w:t>вий бюджет: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2210 - 355070,13 грн.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– 445799,12 грн.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2282 - 3161,33 грн.</w:t>
      </w:r>
    </w:p>
    <w:p w:rsidR="00B719B6" w:rsidRDefault="0094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2730 - 53890,00 грн.</w:t>
      </w:r>
    </w:p>
    <w:p w:rsidR="00B719B6" w:rsidRDefault="009471F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Спеціальний фонд закладу:</w:t>
      </w:r>
    </w:p>
    <w:p w:rsidR="00B719B6" w:rsidRDefault="009471F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3132 – 613478,71 грн.</w:t>
      </w:r>
    </w:p>
    <w:p w:rsidR="00B719B6" w:rsidRDefault="009471F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3110 – 259000,00 грн.</w:t>
      </w:r>
    </w:p>
    <w:p w:rsidR="00B719B6" w:rsidRDefault="009471F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Благодійні кошти:</w:t>
      </w:r>
    </w:p>
    <w:p w:rsidR="00B719B6" w:rsidRDefault="009471F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2210 – 431074,70 грн.</w:t>
      </w:r>
    </w:p>
    <w:p w:rsidR="00B719B6" w:rsidRDefault="009471F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3110 - 464317,99 грн.</w:t>
      </w:r>
    </w:p>
    <w:p w:rsidR="00B719B6" w:rsidRDefault="009471FE">
      <w:pPr>
        <w:shd w:val="clear" w:color="auto" w:fill="FFFFFF"/>
        <w:tabs>
          <w:tab w:val="left" w:pos="709"/>
        </w:tabs>
        <w:spacing w:before="240" w:after="240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2D2C37"/>
          <w:sz w:val="21"/>
          <w:szCs w:val="21"/>
        </w:rPr>
        <w:tab/>
      </w:r>
      <w:r>
        <w:rPr>
          <w:color w:val="000000"/>
          <w:sz w:val="28"/>
          <w:szCs w:val="28"/>
        </w:rPr>
        <w:t>Сьома школа – це місце, де люблять життя, важливою умовою для руху вперед якої – є необхідність активно взаємодіяти. Вона об’єднує однодумців, надихає вдосконалювати себе та світ. Тут дійсно зростають успішні учні, архітектори позитивних змін із великим ук</w:t>
      </w:r>
      <w:r>
        <w:rPr>
          <w:color w:val="000000"/>
          <w:sz w:val="28"/>
          <w:szCs w:val="28"/>
        </w:rPr>
        <w:t>раїнським серцем.</w:t>
      </w:r>
    </w:p>
    <w:p w:rsidR="00B719B6" w:rsidRDefault="009471F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Проблеми закладу: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встановлення пожежної сигналізації; </w:t>
      </w:r>
    </w:p>
    <w:p w:rsidR="00785099" w:rsidRDefault="007850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встановлення системи відеоспостереження;</w:t>
      </w:r>
      <w:bookmarkStart w:id="0" w:name="_GoBack"/>
      <w:bookmarkEnd w:id="0"/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заміна комп’ютерної техніки;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заміна учнівських меблів;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капітальний ремонт шкільних туалетів;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встановлення металопластикових віконних блоків;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влаштування 186 м/п відмостки;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ремонт асфальтового покриття території школи, зокрема спортивних майданчиків;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ремонт/заміна огорожі території закладу;</w:t>
      </w:r>
    </w:p>
    <w:p w:rsidR="00B719B6" w:rsidRDefault="00947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поточний ремонт кабінетів та рекреаці</w:t>
      </w:r>
      <w:r>
        <w:rPr>
          <w:sz w:val="28"/>
          <w:szCs w:val="28"/>
        </w:rPr>
        <w:t>й.</w:t>
      </w:r>
    </w:p>
    <w:p w:rsidR="00B719B6" w:rsidRDefault="00B719B6"/>
    <w:sectPr w:rsidR="00B71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1FE" w:rsidRDefault="009471FE">
      <w:r>
        <w:separator/>
      </w:r>
    </w:p>
  </w:endnote>
  <w:endnote w:type="continuationSeparator" w:id="0">
    <w:p w:rsidR="009471FE" w:rsidRDefault="0094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B6" w:rsidRDefault="00B71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B6" w:rsidRDefault="00B71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B6" w:rsidRDefault="00B71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1FE" w:rsidRDefault="009471FE">
      <w:r>
        <w:separator/>
      </w:r>
    </w:p>
  </w:footnote>
  <w:footnote w:type="continuationSeparator" w:id="0">
    <w:p w:rsidR="009471FE" w:rsidRDefault="0094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B6" w:rsidRDefault="00B71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B6" w:rsidRDefault="009471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C6B29">
      <w:rPr>
        <w:color w:val="000000"/>
      </w:rPr>
      <w:fldChar w:fldCharType="separate"/>
    </w:r>
    <w:r w:rsidR="003C6B29">
      <w:rPr>
        <w:noProof/>
        <w:color w:val="000000"/>
      </w:rPr>
      <w:t>2</w:t>
    </w:r>
    <w:r>
      <w:rPr>
        <w:color w:val="000000"/>
      </w:rPr>
      <w:fldChar w:fldCharType="end"/>
    </w:r>
  </w:p>
  <w:p w:rsidR="00B719B6" w:rsidRDefault="00B71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B6" w:rsidRDefault="00B71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E1E2F"/>
    <w:multiLevelType w:val="multilevel"/>
    <w:tmpl w:val="3B28DBAE"/>
    <w:lvl w:ilvl="0">
      <w:start w:val="1"/>
      <w:numFmt w:val="bullet"/>
      <w:lvlText w:val="⮚"/>
      <w:lvlJc w:val="left"/>
      <w:pPr>
        <w:ind w:left="141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B6"/>
    <w:rsid w:val="003C6B29"/>
    <w:rsid w:val="00785099"/>
    <w:rsid w:val="009471FE"/>
    <w:rsid w:val="00A43E1C"/>
    <w:rsid w:val="00B7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0B28"/>
  <w15:docId w15:val="{4D18867A-81FB-49D4-8536-3AE91B41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basedOn w:val="a0"/>
    <w:rsid w:val="0083186C"/>
    <w:rPr>
      <w:rFonts w:ascii="Times New Roman" w:eastAsia="Times New Roman" w:hAnsi="Times New Roman" w:cs="Times New Roman"/>
      <w:b/>
      <w:bCs/>
      <w:sz w:val="28"/>
      <w:szCs w:val="24"/>
      <w:lang w:val="uk-UA" w:eastAsia="x-none"/>
    </w:rPr>
  </w:style>
  <w:style w:type="character" w:styleId="a5">
    <w:name w:val="Hyperlink"/>
    <w:rsid w:val="0083186C"/>
    <w:rPr>
      <w:color w:val="0000FF"/>
      <w:u w:val="single"/>
    </w:rPr>
  </w:style>
  <w:style w:type="paragraph" w:styleId="a6">
    <w:name w:val="header"/>
    <w:link w:val="a7"/>
    <w:uiPriority w:val="99"/>
    <w:rsid w:val="0083186C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318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link w:val="a9"/>
    <w:rsid w:val="0083186C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8318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uiPriority w:val="34"/>
    <w:qFormat/>
    <w:rsid w:val="00831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19700,baiaagaaboqcaaad4egaaaxusaaaaaaaaaaaaaaaaaaaaaaaaaaaaaaaaaaaaaaaaaaaaaaaaaaaaaaaaaaaaaaaaaaaaaaaaaaaaaaaaaaaaaaaaaaaaaaaaaaaaaaaaaaaaaaaaaaaaaaaaaaaaaaaaaaaaaaaaaaaaaaaaaaaaaaaaaaaaaaaaaaaaaaaaaaaaaaaaaaaaaaaaaaaaaaaaaaaaaaaaaaaaaa"/>
    <w:rsid w:val="0083186C"/>
    <w:pPr>
      <w:spacing w:before="100" w:beforeAutospacing="1" w:after="100" w:afterAutospacing="1"/>
    </w:pPr>
  </w:style>
  <w:style w:type="paragraph" w:styleId="ab">
    <w:name w:val="Normal (Web)"/>
    <w:uiPriority w:val="99"/>
    <w:unhideWhenUsed/>
    <w:rsid w:val="0083186C"/>
    <w:pPr>
      <w:spacing w:before="100" w:beforeAutospacing="1" w:after="100" w:afterAutospacing="1"/>
    </w:pPr>
  </w:style>
  <w:style w:type="paragraph" w:styleId="ac">
    <w:name w:val="Balloon Text"/>
    <w:link w:val="ad"/>
    <w:uiPriority w:val="99"/>
    <w:semiHidden/>
    <w:unhideWhenUsed/>
    <w:rsid w:val="008318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186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>
    <w:name w:val="Table Grid"/>
    <w:basedOn w:val="a1"/>
    <w:uiPriority w:val="39"/>
    <w:rsid w:val="00DF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Emphasis"/>
    <w:uiPriority w:val="20"/>
    <w:qFormat/>
    <w:rsid w:val="00341ECD"/>
    <w:rPr>
      <w:i/>
      <w:iCs/>
    </w:rPr>
  </w:style>
  <w:style w:type="paragraph" w:customStyle="1" w:styleId="10">
    <w:name w:val="Без интервала1"/>
    <w:qFormat/>
    <w:rsid w:val="00341ECD"/>
    <w:rPr>
      <w:rFonts w:ascii="Calibri" w:eastAsia="Calibri" w:hAnsi="Calibri"/>
      <w:sz w:val="22"/>
      <w:szCs w:val="22"/>
      <w:lang w:eastAsia="en-US"/>
    </w:rPr>
  </w:style>
  <w:style w:type="character" w:customStyle="1" w:styleId="rvts11">
    <w:name w:val="rvts11"/>
    <w:basedOn w:val="a0"/>
    <w:rsid w:val="00341ECD"/>
  </w:style>
  <w:style w:type="paragraph" w:styleId="20">
    <w:name w:val="Body Text 2"/>
    <w:link w:val="21"/>
    <w:rsid w:val="008B0945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a0"/>
    <w:link w:val="20"/>
    <w:rsid w:val="008B0945"/>
    <w:rPr>
      <w:lang w:val="x-none" w:eastAsia="x-none"/>
    </w:rPr>
  </w:style>
  <w:style w:type="paragraph" w:styleId="af6">
    <w:name w:val="Body Text"/>
    <w:link w:val="af7"/>
    <w:uiPriority w:val="99"/>
    <w:semiHidden/>
    <w:unhideWhenUsed/>
    <w:rsid w:val="007845F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7845F5"/>
    <w:rPr>
      <w:lang w:eastAsia="ru-RU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7knj@ukr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c3CFyozK2K2Fq9NFwDWny9LqPw==">CgMxLjA4AHIhMTN6aGpqQnVkZDFraHJzNlBCMGdEczM2Q1pBQS1DZWQ1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6050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Лора</cp:lastModifiedBy>
  <cp:revision>3</cp:revision>
  <dcterms:created xsi:type="dcterms:W3CDTF">2023-09-08T11:52:00Z</dcterms:created>
  <dcterms:modified xsi:type="dcterms:W3CDTF">2025-09-04T06:44:00Z</dcterms:modified>
</cp:coreProperties>
</file>